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32"/>
          <w:szCs w:val="32"/>
        </w:rPr>
      </w:pPr>
      <w:r>
        <w:rPr>
          <w:rFonts w:ascii="GillSans" w:hAnsi="GillSans" w:cs="GillSans"/>
          <w:sz w:val="32"/>
          <w:szCs w:val="32"/>
        </w:rPr>
        <w:t xml:space="preserve">Sexuality, Space and </w:t>
      </w:r>
      <w:proofErr w:type="spellStart"/>
      <w:r>
        <w:rPr>
          <w:rFonts w:ascii="GillSans" w:hAnsi="GillSans" w:cs="GillSans"/>
          <w:sz w:val="32"/>
          <w:szCs w:val="32"/>
        </w:rPr>
        <w:t>Intersectionality</w:t>
      </w:r>
      <w:proofErr w:type="spellEnd"/>
      <w:r>
        <w:rPr>
          <w:rFonts w:ascii="GillSans" w:hAnsi="GillSans" w:cs="GillSans"/>
          <w:sz w:val="32"/>
          <w:szCs w:val="32"/>
        </w:rPr>
        <w:t xml:space="preserve">: </w:t>
      </w:r>
      <w:r>
        <w:rPr>
          <w:rFonts w:ascii="GillSans-Light" w:hAnsi="GillSans-Light" w:cs="GillSans-Light"/>
          <w:sz w:val="32"/>
          <w:szCs w:val="32"/>
        </w:rPr>
        <w:t>The Case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32"/>
          <w:szCs w:val="32"/>
        </w:rPr>
      </w:pPr>
      <w:proofErr w:type="gramStart"/>
      <w:r>
        <w:rPr>
          <w:rFonts w:ascii="GillSans-Light" w:hAnsi="GillSans-Light" w:cs="GillSans-Light"/>
          <w:sz w:val="32"/>
          <w:szCs w:val="32"/>
        </w:rPr>
        <w:t>of</w:t>
      </w:r>
      <w:proofErr w:type="gramEnd"/>
      <w:r>
        <w:rPr>
          <w:rFonts w:ascii="GillSans-Light" w:hAnsi="GillSans-Light" w:cs="GillSans-Light"/>
          <w:sz w:val="32"/>
          <w:szCs w:val="32"/>
        </w:rPr>
        <w:t xml:space="preserve"> Lesbian, Gay and Bisexual Equalities Initiatives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32"/>
          <w:szCs w:val="32"/>
        </w:rPr>
      </w:pPr>
      <w:proofErr w:type="gramStart"/>
      <w:r>
        <w:rPr>
          <w:rFonts w:ascii="GillSans-Light" w:hAnsi="GillSans-Light" w:cs="GillSans-Light"/>
          <w:sz w:val="32"/>
          <w:szCs w:val="32"/>
        </w:rPr>
        <w:t>in</w:t>
      </w:r>
      <w:proofErr w:type="gramEnd"/>
      <w:r>
        <w:rPr>
          <w:rFonts w:ascii="GillSans-Light" w:hAnsi="GillSans-Light" w:cs="GillSans-Light"/>
          <w:sz w:val="32"/>
          <w:szCs w:val="32"/>
        </w:rPr>
        <w:t xml:space="preserve"> UK Local Government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Bold" w:hAnsi="GillSans-Bold" w:cs="GillSans-Bold"/>
          <w:b/>
          <w:bCs/>
          <w:sz w:val="18"/>
          <w:szCs w:val="18"/>
        </w:rPr>
      </w:pPr>
      <w:r>
        <w:rPr>
          <w:rFonts w:ascii="GillSans-Bold" w:hAnsi="GillSans-Bold" w:cs="GillSans-Bold"/>
          <w:b/>
          <w:bCs/>
          <w:sz w:val="18"/>
          <w:szCs w:val="18"/>
        </w:rPr>
        <w:t xml:space="preserve">Surya </w:t>
      </w:r>
      <w:proofErr w:type="spellStart"/>
      <w:r>
        <w:rPr>
          <w:rFonts w:ascii="GillSans-Bold" w:hAnsi="GillSans-Bold" w:cs="GillSans-Bold"/>
          <w:b/>
          <w:bCs/>
          <w:sz w:val="18"/>
          <w:szCs w:val="18"/>
        </w:rPr>
        <w:t>Monro</w:t>
      </w:r>
      <w:proofErr w:type="spellEnd"/>
      <w:r>
        <w:rPr>
          <w:rFonts w:ascii="GillSans-Bold" w:hAnsi="GillSans-Bold" w:cs="GillSans-Bold"/>
          <w:b/>
          <w:bCs/>
          <w:sz w:val="18"/>
          <w:szCs w:val="18"/>
        </w:rPr>
        <w:t xml:space="preserve"> and Diane Richardson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Sabon-Italic" w:hAnsi="Sabon-Italic" w:cs="Sabon-Italic"/>
          <w:i/>
          <w:iCs/>
          <w:sz w:val="16"/>
          <w:szCs w:val="16"/>
        </w:rPr>
      </w:pPr>
      <w:r>
        <w:rPr>
          <w:rFonts w:ascii="Sabon-Italic" w:hAnsi="Sabon-Italic" w:cs="Sabon-Italic"/>
          <w:i/>
          <w:iCs/>
          <w:sz w:val="16"/>
          <w:szCs w:val="16"/>
        </w:rPr>
        <w:t>Universities of Huddersfield and Newcastle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Bold" w:hAnsi="GillSans-Bold" w:cs="GillSans-Bold"/>
          <w:b/>
          <w:bCs/>
          <w:sz w:val="14"/>
          <w:szCs w:val="14"/>
        </w:rPr>
      </w:pP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r>
        <w:rPr>
          <w:rFonts w:ascii="GillSans-Light" w:hAnsi="GillSans-Light" w:cs="GillSans-Light"/>
          <w:sz w:val="18"/>
          <w:szCs w:val="18"/>
        </w:rPr>
        <w:t xml:space="preserve">The notion of </w:t>
      </w:r>
      <w:proofErr w:type="spellStart"/>
      <w:r>
        <w:rPr>
          <w:rFonts w:ascii="GillSans-Light" w:hAnsi="GillSans-Light" w:cs="GillSans-Light"/>
          <w:sz w:val="18"/>
          <w:szCs w:val="18"/>
        </w:rPr>
        <w:t>intersectionality</w:t>
      </w:r>
      <w:proofErr w:type="spellEnd"/>
      <w:r>
        <w:rPr>
          <w:rFonts w:ascii="GillSans-Light" w:hAnsi="GillSans-Light" w:cs="GillSans-Light"/>
          <w:sz w:val="18"/>
          <w:szCs w:val="18"/>
        </w:rPr>
        <w:t xml:space="preserve"> has been the subject of uncertainty, with debates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proofErr w:type="gramStart"/>
      <w:r>
        <w:rPr>
          <w:rFonts w:ascii="GillSans-Light" w:hAnsi="GillSans-Light" w:cs="GillSans-Light"/>
          <w:sz w:val="18"/>
          <w:szCs w:val="18"/>
        </w:rPr>
        <w:t>taking</w:t>
      </w:r>
      <w:proofErr w:type="gramEnd"/>
      <w:r>
        <w:rPr>
          <w:rFonts w:ascii="GillSans-Light" w:hAnsi="GillSans-Light" w:cs="GillSans-Light"/>
          <w:sz w:val="18"/>
          <w:szCs w:val="18"/>
        </w:rPr>
        <w:t xml:space="preserve"> place as to whether </w:t>
      </w:r>
      <w:proofErr w:type="spellStart"/>
      <w:r>
        <w:rPr>
          <w:rFonts w:ascii="GillSans-Light" w:hAnsi="GillSans-Light" w:cs="GillSans-Light"/>
          <w:sz w:val="18"/>
          <w:szCs w:val="18"/>
        </w:rPr>
        <w:t>intersectionality</w:t>
      </w:r>
      <w:proofErr w:type="spellEnd"/>
      <w:r>
        <w:rPr>
          <w:rFonts w:ascii="GillSans-Light" w:hAnsi="GillSans-Light" w:cs="GillSans-Light"/>
          <w:sz w:val="18"/>
          <w:szCs w:val="18"/>
        </w:rPr>
        <w:t xml:space="preserve"> studies should focus on the interstices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proofErr w:type="gramStart"/>
      <w:r>
        <w:rPr>
          <w:rFonts w:ascii="GillSans-Light" w:hAnsi="GillSans-Light" w:cs="GillSans-Light"/>
          <w:sz w:val="18"/>
          <w:szCs w:val="18"/>
        </w:rPr>
        <w:t>between</w:t>
      </w:r>
      <w:proofErr w:type="gramEnd"/>
      <w:r>
        <w:rPr>
          <w:rFonts w:ascii="GillSans-Light" w:hAnsi="GillSans-Light" w:cs="GillSans-Light"/>
          <w:sz w:val="18"/>
          <w:szCs w:val="18"/>
        </w:rPr>
        <w:t xml:space="preserve"> social characteristics, or should encompass approaches that interrogate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proofErr w:type="gramStart"/>
      <w:r>
        <w:rPr>
          <w:rFonts w:ascii="GillSans-Light" w:hAnsi="GillSans-Light" w:cs="GillSans-Light"/>
          <w:sz w:val="18"/>
          <w:szCs w:val="18"/>
        </w:rPr>
        <w:t>the</w:t>
      </w:r>
      <w:proofErr w:type="gramEnd"/>
      <w:r>
        <w:rPr>
          <w:rFonts w:ascii="GillSans-Light" w:hAnsi="GillSans-Light" w:cs="GillSans-Light"/>
          <w:sz w:val="18"/>
          <w:szCs w:val="18"/>
        </w:rPr>
        <w:t xml:space="preserve"> structuring effects of specific social forces. This article contributes to these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proofErr w:type="gramStart"/>
      <w:r>
        <w:rPr>
          <w:rFonts w:ascii="GillSans-Light" w:hAnsi="GillSans-Light" w:cs="GillSans-Light"/>
          <w:sz w:val="18"/>
          <w:szCs w:val="18"/>
        </w:rPr>
        <w:t>debates</w:t>
      </w:r>
      <w:proofErr w:type="gramEnd"/>
      <w:r>
        <w:rPr>
          <w:rFonts w:ascii="GillSans-Light" w:hAnsi="GillSans-Light" w:cs="GillSans-Light"/>
          <w:sz w:val="18"/>
          <w:szCs w:val="18"/>
        </w:rPr>
        <w:t xml:space="preserve"> by exploring </w:t>
      </w:r>
      <w:proofErr w:type="spellStart"/>
      <w:r>
        <w:rPr>
          <w:rFonts w:ascii="GillSans-Light" w:hAnsi="GillSans-Light" w:cs="GillSans-Light"/>
          <w:sz w:val="18"/>
          <w:szCs w:val="18"/>
        </w:rPr>
        <w:t>intersectionality</w:t>
      </w:r>
      <w:proofErr w:type="spellEnd"/>
      <w:r>
        <w:rPr>
          <w:rFonts w:ascii="GillSans-Light" w:hAnsi="GillSans-Light" w:cs="GillSans-Light"/>
          <w:sz w:val="18"/>
          <w:szCs w:val="18"/>
        </w:rPr>
        <w:t xml:space="preserve"> in relation to lesbian, gay and bisexual (LGB)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proofErr w:type="gramStart"/>
      <w:r>
        <w:rPr>
          <w:rFonts w:ascii="GillSans-Light" w:hAnsi="GillSans-Light" w:cs="GillSans-Light"/>
          <w:sz w:val="18"/>
          <w:szCs w:val="18"/>
        </w:rPr>
        <w:t>equalities</w:t>
      </w:r>
      <w:proofErr w:type="gramEnd"/>
      <w:r>
        <w:rPr>
          <w:rFonts w:ascii="GillSans-Light" w:hAnsi="GillSans-Light" w:cs="GillSans-Light"/>
          <w:sz w:val="18"/>
          <w:szCs w:val="18"/>
        </w:rPr>
        <w:t xml:space="preserve"> initiatives in UK local government. The article demonstrates the importance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proofErr w:type="gramStart"/>
      <w:r>
        <w:rPr>
          <w:rFonts w:ascii="GillSans-Light" w:hAnsi="GillSans-Light" w:cs="GillSans-Light"/>
          <w:sz w:val="18"/>
          <w:szCs w:val="18"/>
        </w:rPr>
        <w:t>of</w:t>
      </w:r>
      <w:proofErr w:type="gramEnd"/>
      <w:r>
        <w:rPr>
          <w:rFonts w:ascii="GillSans-Light" w:hAnsi="GillSans-Light" w:cs="GillSans-Light"/>
          <w:sz w:val="18"/>
          <w:szCs w:val="18"/>
        </w:rPr>
        <w:t xml:space="preserve"> two social categories, sexuality and the spatial, in structuring LGB equalities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proofErr w:type="gramStart"/>
      <w:r>
        <w:rPr>
          <w:rFonts w:ascii="GillSans-Light" w:hAnsi="GillSans-Light" w:cs="GillSans-Light"/>
          <w:sz w:val="18"/>
          <w:szCs w:val="18"/>
        </w:rPr>
        <w:t>work</w:t>
      </w:r>
      <w:proofErr w:type="gramEnd"/>
      <w:r>
        <w:rPr>
          <w:rFonts w:ascii="GillSans-Light" w:hAnsi="GillSans-Light" w:cs="GillSans-Light"/>
          <w:sz w:val="18"/>
          <w:szCs w:val="18"/>
        </w:rPr>
        <w:t>. By citing analysis partially at the institutional level, it also reveals the way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proofErr w:type="gramStart"/>
      <w:r>
        <w:rPr>
          <w:rFonts w:ascii="GillSans-Light" w:hAnsi="GillSans-Light" w:cs="GillSans-Light"/>
          <w:sz w:val="18"/>
          <w:szCs w:val="18"/>
        </w:rPr>
        <w:t>in</w:t>
      </w:r>
      <w:proofErr w:type="gramEnd"/>
      <w:r>
        <w:rPr>
          <w:rFonts w:ascii="GillSans-Light" w:hAnsi="GillSans-Light" w:cs="GillSans-Light"/>
          <w:sz w:val="18"/>
          <w:szCs w:val="18"/>
        </w:rPr>
        <w:t xml:space="preserve"> which an individualizing approach to </w:t>
      </w:r>
      <w:proofErr w:type="spellStart"/>
      <w:r>
        <w:rPr>
          <w:rFonts w:ascii="GillSans-Light" w:hAnsi="GillSans-Light" w:cs="GillSans-Light"/>
          <w:sz w:val="18"/>
          <w:szCs w:val="18"/>
        </w:rPr>
        <w:t>intersectionality</w:t>
      </w:r>
      <w:proofErr w:type="spellEnd"/>
      <w:r>
        <w:rPr>
          <w:rFonts w:ascii="GillSans-Light" w:hAnsi="GillSans-Light" w:cs="GillSans-Light"/>
          <w:sz w:val="18"/>
          <w:szCs w:val="18"/>
        </w:rPr>
        <w:t xml:space="preserve"> studies, which focuses only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proofErr w:type="gramStart"/>
      <w:r>
        <w:rPr>
          <w:rFonts w:ascii="GillSans-Light" w:hAnsi="GillSans-Light" w:cs="GillSans-Light"/>
          <w:sz w:val="18"/>
          <w:szCs w:val="18"/>
        </w:rPr>
        <w:t>on</w:t>
      </w:r>
      <w:proofErr w:type="gramEnd"/>
      <w:r>
        <w:rPr>
          <w:rFonts w:ascii="GillSans-Light" w:hAnsi="GillSans-Light" w:cs="GillSans-Light"/>
          <w:sz w:val="18"/>
          <w:szCs w:val="18"/>
        </w:rPr>
        <w:t xml:space="preserve"> the interstices, is problematic. The article therefore provides an argument for</w:t>
      </w:r>
    </w:p>
    <w:p w:rsidR="00F848F4" w:rsidRDefault="00F848F4" w:rsidP="00F848F4">
      <w:pPr>
        <w:autoSpaceDE w:val="0"/>
        <w:autoSpaceDN w:val="0"/>
        <w:adjustRightInd w:val="0"/>
        <w:spacing w:after="0" w:line="240" w:lineRule="auto"/>
        <w:rPr>
          <w:rFonts w:ascii="GillSans-Light" w:hAnsi="GillSans-Light" w:cs="GillSans-Light"/>
          <w:sz w:val="18"/>
          <w:szCs w:val="18"/>
        </w:rPr>
      </w:pPr>
      <w:proofErr w:type="gramStart"/>
      <w:r>
        <w:rPr>
          <w:rFonts w:ascii="GillSans-Light" w:hAnsi="GillSans-Light" w:cs="GillSans-Light"/>
          <w:sz w:val="18"/>
          <w:szCs w:val="18"/>
        </w:rPr>
        <w:t>an</w:t>
      </w:r>
      <w:proofErr w:type="gramEnd"/>
      <w:r>
        <w:rPr>
          <w:rFonts w:ascii="GillSans-Light" w:hAnsi="GillSans-Light" w:cs="GillSans-Light"/>
          <w:sz w:val="18"/>
          <w:szCs w:val="18"/>
        </w:rPr>
        <w:t xml:space="preserve"> </w:t>
      </w:r>
      <w:proofErr w:type="spellStart"/>
      <w:r>
        <w:rPr>
          <w:rFonts w:ascii="GillSans-Light" w:hAnsi="GillSans-Light" w:cs="GillSans-Light"/>
          <w:sz w:val="18"/>
          <w:szCs w:val="18"/>
        </w:rPr>
        <w:t>intersectionality</w:t>
      </w:r>
      <w:proofErr w:type="spellEnd"/>
      <w:r>
        <w:rPr>
          <w:rFonts w:ascii="GillSans-Light" w:hAnsi="GillSans-Light" w:cs="GillSans-Light"/>
          <w:sz w:val="18"/>
          <w:szCs w:val="18"/>
        </w:rPr>
        <w:t xml:space="preserve"> studies that incorporates category-based analysis, whilst retaining</w:t>
      </w:r>
    </w:p>
    <w:p w:rsidR="009A732B" w:rsidRDefault="00F848F4" w:rsidP="00F848F4">
      <w:proofErr w:type="gramStart"/>
      <w:r>
        <w:rPr>
          <w:rFonts w:ascii="GillSans-Light" w:hAnsi="GillSans-Light" w:cs="GillSans-Light"/>
          <w:sz w:val="18"/>
          <w:szCs w:val="18"/>
        </w:rPr>
        <w:t>a</w:t>
      </w:r>
      <w:proofErr w:type="gramEnd"/>
      <w:r>
        <w:rPr>
          <w:rFonts w:ascii="GillSans-Light" w:hAnsi="GillSans-Light" w:cs="GillSans-Light"/>
          <w:sz w:val="18"/>
          <w:szCs w:val="18"/>
        </w:rPr>
        <w:t xml:space="preserve"> concern with the interstices between foundational categories.</w:t>
      </w:r>
    </w:p>
    <w:sectPr w:rsidR="009A732B" w:rsidSect="009A73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illSans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848F4"/>
    <w:rsid w:val="009A732B"/>
    <w:rsid w:val="00F8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</dc:creator>
  <cp:lastModifiedBy>Chri</cp:lastModifiedBy>
  <cp:revision>1</cp:revision>
  <dcterms:created xsi:type="dcterms:W3CDTF">2012-01-18T10:13:00Z</dcterms:created>
  <dcterms:modified xsi:type="dcterms:W3CDTF">2012-01-18T10:14:00Z</dcterms:modified>
</cp:coreProperties>
</file>